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271135" cy="1067435"/>
            <wp:effectExtent l="0" t="0" r="5715" b="18415"/>
            <wp:docPr id="5" name="图片 5" descr="360截图20240621110429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0截图202406211104293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来源：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"http://www.pbc.gov.cn/redianzhuanti/118742/5358368/5375460/index.html"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以健全覆盖全社会的征信体系助力金融强国建设 (pbc.gov.cn)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42"/>
          <w:szCs w:val="42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2"/>
          <w:szCs w:val="42"/>
        </w:rPr>
        <w:t>以健全覆盖全社会的征信体系助力金融强国建设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（征信管理局党支部）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社会主义市场经济是信用经济，金融行业以信用为基础。中国人民银行征信管理局党支部深入学习《习近平关于金融工作论述摘编》，全面贯彻落实党中央决策部署，建强建优央行征信系统，持续优化征信市场格局，不断加大征信监管力度，着力提升征信服务质量，为实体经济高质量发展提供有力的支撑和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一、坚持强基固本，牢牢把握央行基础征信定位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建立集中统一、安全高效的央行征信系统是健全覆盖全社会征信体系的重要基础。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经过接续奋斗，中国人民银行组织建成了全球覆盖人数最多、收录信贷信息最全的征信系统，累计收录11.6亿自然人、1.3亿户企业和其他组织的信息，有力发挥了征信主渠道作用。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一是夯实基础功能。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不断强化金融信用信息基础数据库金融基础设施定位，聚焦主责主业，依法全面采集金融信用信息，进一步完善产品体系，丰富服务渠道，提升服务质效，为金融机构、经营主体、社会公众提供更加充分便捷的基础征信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二是拓展共享应用。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研究推动中小微企业支付资金流信息的共享应用，形成与信贷信息互为补充、相互支撑的服务格局，助力金融机构对信用首贷户、中小微企业进行精准“画像”，有效判断信用风险、稳妥进行信贷决策，不断提升中小微企业融资的便利性和可得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三是强化动产融资。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更好地服务小微企业融资，中国人民银行相继建成并持续优化动产融资统一登记公示系统、应收账款融资服务平台，更好发挥信用信息枢纽优势，破解信息痛点，打通资金堵点，不断提高动产和权利担保融资效率。着力扩大知识产权等特殊类型动产担保信息的统一查询范围，支持金融机构探索开展生物活体抵押贷款等创新型动产融资项目。深化应收账款融资服务平台创新应用，积极推动“政采贷”等融资模式发展，促进产业链供应链良性循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二、坚持改革创新，持续完善多层次征信市场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培育优势互补、各具特色的市场化机构是健全覆盖全社会征信体系的重要支撑。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数字经济时代，征信业务模式在新业态和新技术中发生了深刻变革，发展动能更加强劲、应用场景更加丰富。中国人民银行始终坚持“政府+市场”双轮驱动，大力发展多层次征信市场，持续深化征信供给侧结构性改革，广泛覆盖社会征信需求。先后批设2家个人征信机构，备案管理148家企业征信机构。2023年，征信机构面向金融等领域提供信用报告、信用评分、信用画像、决策解决方案等各类征信服务超640亿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一是优化行业格局。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大力培育市场化征信机构和信用评级机构，形成主体多元化、服务差异化、产品特色化的市场格局，发展专注细分领域的优质企业征信机构，提升征信服务的有效性和多样性，持续增强信用评级机构的综合实力和国际影响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二是释放数据价值。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推动人工智能、大数据、区块链等数字技术高效赋能，促进消费支付、注册登记、生产经营、合同履约等多元数据加速融合，实现各类信用信息、先进技术在征信领域有效聚集、充分应用和规范治理。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三是突出中心任务。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以专业高效的征信服务加大对国家重大战略、重点领域和薄弱环节的金融支持力度，助力做好“五篇大文章”，全方位、多层次、立体化地满足人民群众和实体经济多样化的征信需求。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三、坚持从严监管，有力构筑征信发展安全屏障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完善权责明确、联动协同的监管框架是健全覆盖全社会征信体系的重要保障。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国人民银行严格落实“五大监管”“管合法更要管非法”等监管要求，把握风险实质、抓住关键环节，全面构建了以《征信业管理条例》为统领、部门规章为主体的多层次征信法规体系，依法将所有征信活动纳入监管，细化备案管理、现场检查、日常监管、风险评价等监管举措，严厉打击非法开展征信业务、扰乱征信市场秩序、侵害信息主体合法权益等行为，以安全合规保障健康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一是完善监管框架。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充分适应征信市场发展变化，健全完善“横向到边、纵向到底”的严密监管制度，筑牢征信监管屏障，加强各层级、各部门间的协调配合，建立长效监管协作机制。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二是聚焦监管重点。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坚持问题导向、目标导向，紧盯涉及数据质量、信息安全、权益保护的关键环节和突出问题，加大现场检查和非现场监管力度，对于违法违规行为严格执法、敢于亮剑。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三是提升监管效能。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强化监管科技的应用，依托监管信息平台，持续完善非现场监管功能，全面提升征信监管数字化、智能化水平，强化风险的研判、甄别、防范，进一步提升监管前瞻性、精准性和有效性。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四、坚持征信为民，不断提升社会公众获得感和满意度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树牢征信为民的工作理念是健全覆盖全社会征信体系的重要动力。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国人民银行始终坚持以人民为中心的价值取向，用心、用情、用力做好面向社会公众的各项征信工作，在涉众性强、关注度高的个人和企业的信用评价、征信投诉办理等环节持续发力，不断提升社会公众获得感和满意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一是持续提高征信服务水平。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不断拓展“人工+自助”“线上+线下”征信服务渠道，着力提升征信人工服务窗口的标准化、规范化水平。加大自助查询机、智慧柜员机等智能化机具的布设范围，拓展手机银行、互联网远程查询的覆盖人群，通过系统升级、渠道拓展、模式创新持续增强征信服务的可得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二是不断加大征信宣传力度。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持续开展有温度、有广度、有力度的征信宣传，依托信用记录关爱日等时间节点，重点围绕大学生、老年人等群体，通过线上线下多种方式开展征信宣传，普及征信知识，解读征信报告，解答征信疑惑，着力营造“学征信、懂征信、用征信”的良好氛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三是切实强化征信权益保护。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深入学习践行“千万工程”和“浦江经验”，将人民群众最关心、最直接的利益问题作为征信权益保护工作的出发点和落脚点。认真落实新修订的《征信投诉办理规程》，扎实做好征信投诉办理，维护和保障人民群众合法权益。探索建立线上征信维权沟通平台等权益保护机制，推动征信争议前置化解；严厉打击非法征信修复等黑灰产业，切实加强信息安全和权益保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下一步，中国人民银行将深入理解和把握《习近平关于金融工作论述摘编》核心要义和实践要求，坚持稳中求进工作总基调，进一步健全覆盖全社会的征信体系，全力推动征信业高质量发展，助力金融强国建设。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42318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drawing>
          <wp:inline distT="0" distB="0" distL="114300" distR="114300">
            <wp:extent cx="762000" cy="762000"/>
            <wp:effectExtent l="0" t="0" r="0" b="0"/>
            <wp:docPr id="2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D42318"/>
          <w:lang w:val="en-US" w:eastAsia="zh-CN" w:bidi="ar"/>
        </w:rPr>
        <w:drawing>
          <wp:inline distT="0" distB="0" distL="114300" distR="114300">
            <wp:extent cx="1047750" cy="5238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instrText xml:space="preserve"> HYPERLINK "http://www.pbc.gov.cn/redianzhuanti/118742/5358368/5375460/index.html"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t>法律声明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  <w:shd w:val="clear" w:fill="D42318"/>
        </w:rPr>
        <w:t> | 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instrText xml:space="preserve"> HYPERLINK "http://www.pbc.gov.cn/rmyh/3310364/index.html"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t>联系我们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  <w:shd w:val="clear" w:fill="D42318"/>
        </w:rPr>
        <w:t> | 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instrText xml:space="preserve"> HYPERLINK "http://www.pbc.gov.cn/redianzhuanti/118742/5358368/5375460/index.html"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t>设为首页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  <w:shd w:val="clear" w:fill="D42318"/>
        </w:rPr>
        <w:t> | 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instrText xml:space="preserve"> HYPERLINK "http://www.pbc.gov.cn/redianzhuanti/118742/5358368/5375460/index.html"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t>加入收藏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  <w:shd w:val="clear" w:fill="D42318"/>
        </w:rPr>
        <w:t> | 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instrText xml:space="preserve"> HYPERLINK "http://www.pbc.gov.cn/rmyh/109342/index.html" \t "http://www.pbc.gov.cn/redianzhuanti/118742/5358368/5375460/_blank"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t>网站地图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instrText xml:space="preserve"> HYPERLINK "http://www.beian.miit.gov.cn/" \t "http://www.pbc.gov.cn/redianzhuanti/118742/5358368/5375460/_blank"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t>京ICP备05073439号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  <w:shd w:val="clear" w:fill="D42318"/>
        </w:rPr>
        <w:t> 网站标识码：bm25000001 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instrText xml:space="preserve"> HYPERLINK "http://www.beian.gov.cn/portal/registerSystemInfo?recordcode=11010202000016" \t "http://www.pbc.gov.cn/redianzhuanti/118742/5358368/5375460/_blank"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drawing>
          <wp:inline distT="0" distB="0" distL="114300" distR="114300">
            <wp:extent cx="133350" cy="13335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t>京公网安备 11010202000016号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fill="D42318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  <w:shd w:val="clear" w:fill="D42318"/>
        </w:rPr>
        <w:t>网站主办单位：中国人民银行办公厅　最佳分辨率：1024*768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zZhMTdhNDJjOGU2NDYxNGI3NTFkYjM3MzAyMjcifQ=="/>
  </w:docVars>
  <w:rsids>
    <w:rsidRoot w:val="492E736B"/>
    <w:rsid w:val="33D32D8A"/>
    <w:rsid w:val="492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hyperlink" Target="https://bszs.conac.cn/sitename?method=show%26id=1BE500012CF85EF1E053022819ACA1FD" TargetMode="Externa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2498</Words>
  <Characters>2548</Characters>
  <Lines>0</Lines>
  <Paragraphs>0</Paragraphs>
  <TotalTime>8</TotalTime>
  <ScaleCrop>false</ScaleCrop>
  <LinksUpToDate>false</LinksUpToDate>
  <CharactersWithSpaces>2560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2024-06-21T02:56:00Z</dcterms:created>
  <dc:creator>黄</dc:creator>
  <cp:lastModifiedBy>黄</cp:lastModifiedBy>
  <dcterms:modified xsi:type="dcterms:W3CDTF">2024-06-21T03:05:24Z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4BD0D35DC218460FBA0287DACDA95F5B_13</vt:lpwstr>
  </property>
</Properties>
</file>